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BE" w:rsidRPr="00A307F6" w:rsidRDefault="00367ABE" w:rsidP="0036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6F0601">
        <w:rPr>
          <w:rFonts w:ascii="Times New Roman" w:hAnsi="Times New Roman" w:cs="Times New Roman"/>
          <w:sz w:val="28"/>
          <w:lang w:eastAsia="ru-RU"/>
        </w:rPr>
        <w:t>Список вопросов к зачету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Целевое предназначение института представительства в гражданском процессуальном праве.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Научные концепции о судебном представительстве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Особенности понятия и сущности представительства в суде и судебного представительства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Лица, которые могут быть представителем в суде по гражданским делам. Лица, которые не могут быть представителем в суде.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судебному представителю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Представитель как субъект гражданских процессуальных правоотношений.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Субъекты гражданских процессуальных правоотношений. Научные классификации субъектов гражданских процессуальных правоотношений.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Юридическая заинтересованность как критерий классификации субъектов гражданских процессуальных правоотношений. Виды юридической заинтересованности.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Процессуальное положение представителя в суде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Процессуальные особенности правового статуса адвоката в суде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Понятие и виды ответственности в гражданском процессуальном праве. Какие виды ответственности предусмотрены для представителя в суде?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Понятие и сущность полномочий представителя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Виды полномочий представителя по гражданским делам и в исполнительном производстве.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Особенности объема полномочий в зависимости от вида судебного представительства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Процессуальный порядок оформления полномочий представителя в суде.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 xml:space="preserve">Корреляция (соотношение, взаимосвязь) между полномочиями представителя и </w:t>
      </w:r>
      <w:proofErr w:type="gramStart"/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процессуальными правами</w:t>
      </w:r>
      <w:proofErr w:type="gramEnd"/>
      <w:r w:rsidRPr="0091732E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процессуальными обязанностями.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Процессуальные особенности оформления полномочий адвоката – представителя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Доверенность как основной способ оформления и подтверждения полномочий судебного представителя. Виды доверенности для участия в суде и процессуальные особенности её оформления.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Ведение дел в суде через представителей гражданами и организациями.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Критерии классификации судебного представительства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Договорное представительство в суде: основание и содержание.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Законное представительство в суде и его процессуальные особенности.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Представительство по назначению суда в гражданском судопроизводстве.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Особенности представительства в исполнительном производстве.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Требование о наличие высшего юридического образования либо ученой степени по юридической специальности у представителя в суде. Процессуальный порядок подтверждения для допуска представителя к участию в суде по гражданским делам.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Тенденция провозглашения профессионализма судебного представительства по гражданским делам: перспективы развития и последствия.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Тенденции развития нормативных положений об оказании бесплатной юридической помощи посредством представительства в судах по гражданским делам. Условия и процессуальный порядок её предоставления.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судебного представительства в условиях </w:t>
      </w:r>
      <w:proofErr w:type="spellStart"/>
      <w:r w:rsidRPr="0091732E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1732E">
        <w:rPr>
          <w:rFonts w:ascii="Times New Roman" w:hAnsi="Times New Roman" w:cs="Times New Roman"/>
          <w:sz w:val="28"/>
          <w:szCs w:val="28"/>
          <w:lang w:eastAsia="ru-RU"/>
        </w:rPr>
        <w:t xml:space="preserve"> правосудия в РФ.</w:t>
      </w:r>
    </w:p>
    <w:p w:rsidR="00367ABE" w:rsidRPr="0091732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Формы, виды и содержание юридической помощи представителя по гражданским делам в условиях перехода на электронное правосудие.</w:t>
      </w:r>
    </w:p>
    <w:p w:rsidR="00367ABE" w:rsidRDefault="00367ABE" w:rsidP="00367AB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</w:t>
      </w:r>
      <w:r w:rsidRPr="0091732E">
        <w:rPr>
          <w:rFonts w:ascii="Times New Roman" w:hAnsi="Times New Roman" w:cs="Times New Roman"/>
          <w:sz w:val="28"/>
          <w:szCs w:val="28"/>
          <w:lang w:eastAsia="ru-RU"/>
        </w:rPr>
        <w:t>Тенденции развития законодательства в сфере использования информационных технологий в деятельности судов (посредством систем электронного документооборота) между участниками гражданского процесса.</w:t>
      </w:r>
    </w:p>
    <w:p w:rsidR="00E84E39" w:rsidRDefault="00E84E39">
      <w:bookmarkStart w:id="0" w:name="_GoBack"/>
      <w:bookmarkEnd w:id="0"/>
    </w:p>
    <w:sectPr w:rsidR="00E8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B4F"/>
    <w:multiLevelType w:val="hybridMultilevel"/>
    <w:tmpl w:val="EACC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4"/>
    <w:rsid w:val="00367ABE"/>
    <w:rsid w:val="00487324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467E-911D-42C9-BB84-894FE422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ФГБОУ СГЮА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Гражданского процесса 201812</dc:creator>
  <cp:keywords/>
  <dc:description/>
  <cp:lastModifiedBy>Методист кафедры Гражданского процесса 201812</cp:lastModifiedBy>
  <cp:revision>2</cp:revision>
  <dcterms:created xsi:type="dcterms:W3CDTF">2023-04-25T07:23:00Z</dcterms:created>
  <dcterms:modified xsi:type="dcterms:W3CDTF">2023-04-25T07:23:00Z</dcterms:modified>
</cp:coreProperties>
</file>