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77" w:rsidRPr="006E64A2" w:rsidRDefault="005A7877" w:rsidP="005A7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экзамену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Основные этапы развития гражданского процессуального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Понятие и виды источников гражданского процессуального права.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Конституция РФ как источник гражданского процессуального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Федеральные конституционные законы как источники гражданского процессуального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Федеральные законы как источники гражданского процессуального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ГПК РФ.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Международные правовые акты как источники гражданского процессуального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Роль судебной практики в регулировании гражданских процессуальных правоотношений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Соотношение судебной практики и судебного прецедента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Виды р</w:t>
      </w:r>
      <w:r>
        <w:rPr>
          <w:rFonts w:ascii="Times New Roman" w:hAnsi="Times New Roman"/>
          <w:sz w:val="28"/>
          <w:szCs w:val="28"/>
        </w:rPr>
        <w:t>ешений Конституционного Суда РФ.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Реализация актов Конституционного суда РФ в гражданском судопроизводстве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Виды актов Верховного Суда РФ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Реализация актов Верховного суда РФ в гражданском судопроизводстве</w:t>
      </w:r>
      <w:r>
        <w:rPr>
          <w:rFonts w:ascii="Times New Roman" w:hAnsi="Times New Roman"/>
          <w:sz w:val="28"/>
          <w:szCs w:val="28"/>
        </w:rPr>
        <w:t>.</w:t>
      </w:r>
      <w:r w:rsidRPr="00881565">
        <w:rPr>
          <w:rFonts w:ascii="Times New Roman" w:hAnsi="Times New Roman"/>
          <w:sz w:val="28"/>
          <w:szCs w:val="28"/>
        </w:rPr>
        <w:t xml:space="preserve"> 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Конвенция о защите прав человека и основных свобод как источник гражданского процессуального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Значение постановлений ЕСПЧ для судов РФ</w:t>
      </w:r>
      <w:r>
        <w:rPr>
          <w:rFonts w:ascii="Times New Roman" w:hAnsi="Times New Roman"/>
          <w:sz w:val="28"/>
          <w:szCs w:val="28"/>
        </w:rPr>
        <w:t>.</w:t>
      </w:r>
    </w:p>
    <w:p w:rsidR="005A7877" w:rsidRPr="00881565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Реализация постановлений ЕСПЧ в гражданском судопроизводстве</w:t>
      </w:r>
      <w:r>
        <w:rPr>
          <w:rFonts w:ascii="Times New Roman" w:hAnsi="Times New Roman"/>
          <w:sz w:val="28"/>
          <w:szCs w:val="28"/>
        </w:rPr>
        <w:t>.</w:t>
      </w:r>
    </w:p>
    <w:p w:rsidR="005A7877" w:rsidRDefault="005A7877" w:rsidP="005A787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65">
        <w:rPr>
          <w:rFonts w:ascii="Times New Roman" w:hAnsi="Times New Roman"/>
          <w:sz w:val="28"/>
          <w:szCs w:val="28"/>
        </w:rPr>
        <w:t>Применение аналогии в гражданском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11BD"/>
    <w:multiLevelType w:val="hybridMultilevel"/>
    <w:tmpl w:val="650E37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4"/>
    <w:rsid w:val="00407A04"/>
    <w:rsid w:val="005A7877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7DE2-ED55-46A9-B58C-FB7504F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ФГБОУ СГЮА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2023-04-25T07:20:00Z</dcterms:created>
  <dcterms:modified xsi:type="dcterms:W3CDTF">2023-04-25T07:20:00Z</dcterms:modified>
</cp:coreProperties>
</file>