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D" w:rsidRDefault="00EC5D7D" w:rsidP="00EC5D7D">
      <w:pPr>
        <w:pStyle w:val="1"/>
        <w:rPr>
          <w:b w:val="0"/>
          <w:lang w:eastAsia="ru-RU"/>
        </w:rPr>
      </w:pPr>
      <w:bookmarkStart w:id="0" w:name="_Toc96082366"/>
      <w:r>
        <w:rPr>
          <w:b w:val="0"/>
          <w:lang w:eastAsia="ru-RU"/>
        </w:rPr>
        <w:t>Направление</w:t>
      </w:r>
      <w:r w:rsidRPr="0061459D">
        <w:rPr>
          <w:lang w:eastAsia="ru-RU"/>
        </w:rPr>
        <w:t xml:space="preserve"> подготовки 40.05.02 Правоохранительная деятельность</w:t>
      </w:r>
      <w:r>
        <w:rPr>
          <w:b w:val="0"/>
          <w:lang w:eastAsia="ru-RU"/>
        </w:rPr>
        <w:t xml:space="preserve"> </w:t>
      </w:r>
      <w:r w:rsidRPr="0061459D">
        <w:rPr>
          <w:lang w:eastAsia="ru-RU"/>
        </w:rPr>
        <w:t>Специализация: «Оперативно-розыскная деятельность»</w:t>
      </w:r>
      <w:bookmarkEnd w:id="0"/>
    </w:p>
    <w:p w:rsidR="00EC5D7D" w:rsidRDefault="00EC5D7D" w:rsidP="00EC5D7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C5D7D" w:rsidRDefault="00EC5D7D" w:rsidP="00EC5D7D">
      <w:pPr>
        <w:pStyle w:val="2"/>
        <w:rPr>
          <w:lang w:eastAsia="ru-RU"/>
        </w:rPr>
      </w:pPr>
      <w:bookmarkStart w:id="1" w:name="_Toc96082367"/>
      <w:r>
        <w:rPr>
          <w:lang w:eastAsia="ru-RU"/>
        </w:rPr>
        <w:t>Системы анализа судебной практики</w:t>
      </w:r>
      <w:bookmarkEnd w:id="1"/>
    </w:p>
    <w:p w:rsidR="00EC5D7D" w:rsidRDefault="00EC5D7D" w:rsidP="00EC5D7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1.Судебная власть в правовом государстве. Правосудие как форма конституционного контроля.</w:t>
      </w:r>
      <w:r w:rsidRPr="00D8331C">
        <w:t xml:space="preserve"> 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2. Роль и значение судебной практики в англо-саксонской и романо-германской правовых семьях.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3. История формирования и современное влияние судебной практики на органы публичной власти.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4. Отечественный и зарубежный опыт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5. Задачи и типы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6.Изучение и обобщение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7. Понятие и значение судебной статистики.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8.Формы ведения судебной статистики.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9. Перспективы информатизации судебных органов.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10.</w:t>
      </w:r>
      <w:r w:rsidRPr="00561FA3">
        <w:t xml:space="preserve"> </w:t>
      </w:r>
      <w:r>
        <w:t>Роль судебной практики в правоприменительной деятельности.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11. Порядок публикаций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12. Справочно-правовые системы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13.Основные теории судебных систем.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14. Анализ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15. Классификация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proofErr w:type="gramStart"/>
      <w:r>
        <w:t>16 .Агрегация</w:t>
      </w:r>
      <w:proofErr w:type="gramEnd"/>
      <w:r>
        <w:t xml:space="preserve">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17.Типы судебной практики в современный период.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18.Формы поиска судебной практики по различным категориям дел.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19. Значение судебной практики в научной деятельности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20.</w:t>
      </w:r>
      <w:r w:rsidRPr="00063242">
        <w:t xml:space="preserve"> </w:t>
      </w:r>
      <w:r>
        <w:t>Правовые основы информационного обеспечения деятельности судебных органов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21.Основные сервисы поиска судебной практики по определенным категориям дел.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22. Планирование работы по обобщению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23. Качество обобщения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24. Порядок изучения конкретных судебных дел.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25. Анализ статистических показателей работы суда.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26. Программа изучения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27. Порядок работы над обобщением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28. Изучение решений арбитражных судов первой инстанции.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29. Составление итогового документа по анализу судебной практики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30.</w:t>
      </w:r>
      <w:r w:rsidRPr="00063242">
        <w:t xml:space="preserve"> </w:t>
      </w:r>
      <w:r>
        <w:t>Возможности систему СПС "Гарант" при анализе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31. Правовое регулирование справочных правовых систем, обеспечивающих судебную практику.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lastRenderedPageBreak/>
        <w:t>32.Основные направления развития справочно-правовых систем по анализу 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  <w:rPr>
          <w:color w:val="231F20"/>
        </w:rPr>
      </w:pPr>
      <w:r>
        <w:t>33.</w:t>
      </w:r>
      <w:r w:rsidRPr="007F2D0A">
        <w:rPr>
          <w:color w:val="231F20"/>
        </w:rPr>
        <w:t>Возможности сервиса «Судебный аналитик» ИПС «Кодекс»</w:t>
      </w:r>
      <w:r>
        <w:rPr>
          <w:color w:val="231F20"/>
        </w:rPr>
        <w:t>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rPr>
          <w:color w:val="231F20"/>
        </w:rPr>
        <w:t xml:space="preserve">34. </w:t>
      </w:r>
      <w:r w:rsidRPr="00FF47EF">
        <w:t>Государственн</w:t>
      </w:r>
      <w:r>
        <w:t xml:space="preserve">ые </w:t>
      </w:r>
      <w:r w:rsidRPr="00FF47EF">
        <w:t>систем</w:t>
      </w:r>
      <w:r>
        <w:t xml:space="preserve">ы </w:t>
      </w:r>
      <w:r w:rsidRPr="00FF47EF">
        <w:t xml:space="preserve">распространения </w:t>
      </w:r>
      <w:r>
        <w:t>судебной практики.</w:t>
      </w:r>
    </w:p>
    <w:p w:rsidR="00EC5D7D" w:rsidRDefault="00EC5D7D" w:rsidP="00EC5D7D">
      <w:pPr>
        <w:pStyle w:val="a"/>
        <w:numPr>
          <w:ilvl w:val="0"/>
          <w:numId w:val="0"/>
        </w:numPr>
        <w:rPr>
          <w:color w:val="000000" w:themeColor="text1"/>
        </w:rPr>
      </w:pPr>
      <w:r>
        <w:t>35.</w:t>
      </w:r>
      <w:r w:rsidRPr="00063242">
        <w:rPr>
          <w:color w:val="000000" w:themeColor="text1"/>
        </w:rPr>
        <w:t xml:space="preserve"> Особенности</w:t>
      </w:r>
      <w:r>
        <w:rPr>
          <w:color w:val="000000" w:themeColor="text1"/>
        </w:rPr>
        <w:t xml:space="preserve"> </w:t>
      </w:r>
      <w:r w:rsidRPr="00063242">
        <w:rPr>
          <w:color w:val="000000" w:themeColor="text1"/>
        </w:rPr>
        <w:t>поиска и анализа судебных актов</w:t>
      </w:r>
      <w:r>
        <w:rPr>
          <w:color w:val="000000" w:themeColor="text1"/>
        </w:rPr>
        <w:t xml:space="preserve"> </w:t>
      </w:r>
      <w:r w:rsidRPr="00063242">
        <w:rPr>
          <w:color w:val="000000" w:themeColor="text1"/>
        </w:rPr>
        <w:t xml:space="preserve">в системе </w:t>
      </w:r>
      <w:proofErr w:type="spellStart"/>
      <w:r w:rsidRPr="00063242">
        <w:rPr>
          <w:color w:val="000000" w:themeColor="text1"/>
        </w:rPr>
        <w:t>Legal</w:t>
      </w:r>
      <w:proofErr w:type="spellEnd"/>
      <w:r w:rsidRPr="00063242">
        <w:rPr>
          <w:color w:val="000000" w:themeColor="text1"/>
        </w:rPr>
        <w:t xml:space="preserve"> </w:t>
      </w:r>
      <w:proofErr w:type="spellStart"/>
      <w:r w:rsidRPr="00063242">
        <w:rPr>
          <w:color w:val="000000" w:themeColor="text1"/>
        </w:rPr>
        <w:t>tech</w:t>
      </w:r>
      <w:proofErr w:type="spellEnd"/>
      <w:r w:rsidRPr="00063242">
        <w:rPr>
          <w:color w:val="000000" w:themeColor="text1"/>
        </w:rPr>
        <w:t xml:space="preserve">. 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rPr>
          <w:color w:val="000000" w:themeColor="text1"/>
        </w:rPr>
        <w:t>36.Го</w:t>
      </w:r>
      <w:r>
        <w:t>товый анализ найденных документов.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 xml:space="preserve">37.Визуализированная система поиска информации </w:t>
      </w:r>
      <w:proofErr w:type="gramStart"/>
      <w:r>
        <w:t>по судебной практики</w:t>
      </w:r>
      <w:proofErr w:type="gramEnd"/>
      <w:r>
        <w:t>.</w:t>
      </w:r>
    </w:p>
    <w:p w:rsidR="00EC5D7D" w:rsidRDefault="00EC5D7D" w:rsidP="00EC5D7D">
      <w:pPr>
        <w:pStyle w:val="a"/>
        <w:numPr>
          <w:ilvl w:val="0"/>
          <w:numId w:val="0"/>
        </w:numPr>
      </w:pPr>
      <w:r>
        <w:t>38.Готовые обзоры практики от экспертов.</w:t>
      </w:r>
    </w:p>
    <w:p w:rsidR="00EC5D7D" w:rsidRDefault="00EC5D7D" w:rsidP="00EC5D7D">
      <w:pPr>
        <w:pStyle w:val="a"/>
        <w:numPr>
          <w:ilvl w:val="0"/>
          <w:numId w:val="0"/>
        </w:numPr>
        <w:rPr>
          <w:color w:val="000000" w:themeColor="text1"/>
        </w:rPr>
      </w:pPr>
      <w:r>
        <w:t xml:space="preserve">39. Инструменты для работы с текстом </w:t>
      </w:r>
      <w:r>
        <w:rPr>
          <w:color w:val="000000" w:themeColor="text1"/>
        </w:rPr>
        <w:t xml:space="preserve">в системе </w:t>
      </w:r>
      <w:proofErr w:type="spellStart"/>
      <w:r w:rsidRPr="00013AE2">
        <w:rPr>
          <w:color w:val="000000" w:themeColor="text1"/>
        </w:rPr>
        <w:t>Legal</w:t>
      </w:r>
      <w:proofErr w:type="spellEnd"/>
      <w:r w:rsidRPr="00013AE2">
        <w:rPr>
          <w:color w:val="000000" w:themeColor="text1"/>
        </w:rPr>
        <w:t xml:space="preserve"> </w:t>
      </w:r>
      <w:proofErr w:type="spellStart"/>
      <w:r w:rsidRPr="00013AE2">
        <w:rPr>
          <w:color w:val="000000" w:themeColor="text1"/>
        </w:rPr>
        <w:t>tech</w:t>
      </w:r>
      <w:proofErr w:type="spellEnd"/>
      <w:r>
        <w:rPr>
          <w:color w:val="000000" w:themeColor="text1"/>
        </w:rPr>
        <w:t>.</w:t>
      </w:r>
    </w:p>
    <w:p w:rsidR="00EC5D7D" w:rsidRPr="009F6719" w:rsidRDefault="00EC5D7D" w:rsidP="00EC5D7D">
      <w:pPr>
        <w:pStyle w:val="a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40. </w:t>
      </w:r>
      <w:r>
        <w:t>Возможности поиска судебной практики в системе</w:t>
      </w:r>
      <w:r w:rsidRPr="00F95B05">
        <w:rPr>
          <w:rFonts w:ascii="Arial" w:hAnsi="Arial" w:cs="Arial"/>
          <w:color w:val="333333"/>
        </w:rPr>
        <w:t xml:space="preserve"> </w:t>
      </w:r>
      <w:proofErr w:type="spellStart"/>
      <w:r w:rsidRPr="009F6719">
        <w:rPr>
          <w:color w:val="000000" w:themeColor="text1"/>
        </w:rPr>
        <w:t>caselook</w:t>
      </w:r>
      <w:proofErr w:type="spellEnd"/>
      <w:r w:rsidRPr="009F6719">
        <w:rPr>
          <w:color w:val="000000" w:themeColor="text1"/>
        </w:rPr>
        <w:t xml:space="preserve"> (caselook.ru). </w:t>
      </w:r>
    </w:p>
    <w:p w:rsidR="00EC5D7D" w:rsidRDefault="00EC5D7D" w:rsidP="00EC5D7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C5D7D" w:rsidRDefault="00EC5D7D" w:rsidP="00EC5D7D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Default="00EC5D7D">
      <w:bookmarkStart w:id="2" w:name="_GoBack"/>
      <w:bookmarkEnd w:id="2"/>
    </w:p>
    <w:sectPr w:rsidR="0063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8202D"/>
    <w:rsid w:val="005040AC"/>
    <w:rsid w:val="00872425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5D7D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2022-10-30T13:18:00Z</dcterms:created>
  <dcterms:modified xsi:type="dcterms:W3CDTF">2022-10-30T13:19:00Z</dcterms:modified>
</cp:coreProperties>
</file>