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BC" w:rsidRPr="00BD698B" w:rsidRDefault="003252BC" w:rsidP="003252BC">
      <w:pPr>
        <w:spacing w:before="120" w:after="120"/>
        <w:jc w:val="center"/>
        <w:rPr>
          <w:b/>
          <w:sz w:val="28"/>
          <w:szCs w:val="28"/>
        </w:rPr>
      </w:pPr>
      <w:r w:rsidRPr="00BD698B">
        <w:rPr>
          <w:b/>
          <w:sz w:val="28"/>
          <w:szCs w:val="28"/>
        </w:rPr>
        <w:t xml:space="preserve">Вопросы для проведения зачета </w:t>
      </w:r>
    </w:p>
    <w:p w:rsidR="003252BC" w:rsidRPr="00BD698B" w:rsidRDefault="003252BC" w:rsidP="003252BC"/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847E8C">
        <w:rPr>
          <w:szCs w:val="28"/>
        </w:rPr>
        <w:t>Европейская система защиты прав человека: понятие и содержание.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847E8C">
        <w:rPr>
          <w:szCs w:val="28"/>
        </w:rPr>
        <w:t>Структура и отличительные особенности европейской системы защиты прав человека.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847E8C">
        <w:rPr>
          <w:szCs w:val="28"/>
        </w:rPr>
        <w:t>Основные источники европейской системы защиты прав человека.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История создания Совета Европы.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 xml:space="preserve">Статус и учредительные документы Совета Европы. 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>Уставные и специализированные органы Совета Европы.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>Основные направления деятельности Совета Европы</w:t>
      </w:r>
      <w:r>
        <w:rPr>
          <w:szCs w:val="28"/>
        </w:rPr>
        <w:t>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Принятие </w:t>
      </w:r>
      <w:r w:rsidRPr="009A0211">
        <w:rPr>
          <w:szCs w:val="28"/>
        </w:rPr>
        <w:t>Европейской Конвенции о защите прав человека и основных свобод.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>Общая характеристика Европейской Конвенции о защите прав человека и основных свобод 1950 г. и протоколов к ней.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>Основные права, гарантируемые Конвенцией о защите прав человека и основных свобод, и их развитие в Протоколах к ней.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>Основополагающие принципы, закрепленные в Европейской конвенции о защите прав человека и основных свобод.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Содержание и роль Европейской социальной хартии (1961г., 1996г.) и Дополнительных протоколов к ней 1988г. и 1991г.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>Хартия Европейского Союза об основных правах (2000г.).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Полномочия и основные направления деятельности Комиссара по правам человека Совета Европы.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Европейский комитет по предупреждению пыток и бесчеловечного или унижающего достоинство обращения или наказания.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Механизм применения Российской Федерацией европейских стандартов в области прав человека.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Европейский Суд по правам человека: правовое положение и полномочия.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 xml:space="preserve">Условия обращения в Европейский суд по правам человека.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>Процедура подачи и принятия к рассмотрению индивидуальной жалобы в Европейский суд по правам человека</w:t>
      </w:r>
    </w:p>
    <w:p w:rsidR="003252BC" w:rsidRPr="0023623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t>Практика Европейского Суда по правам человека в отношении условий приемлемости: особенности подхода к жалобам против России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23623C">
        <w:rPr>
          <w:szCs w:val="28"/>
        </w:rPr>
        <w:t xml:space="preserve">Субсидиарная природа юрисдикции Европейского Суда по правам человека. 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23623C">
        <w:rPr>
          <w:szCs w:val="28"/>
        </w:rPr>
        <w:t xml:space="preserve">«Правовые позиции» Европейского Суда по правам человека: правовая природа. </w:t>
      </w:r>
    </w:p>
    <w:p w:rsidR="003252BC" w:rsidRPr="0023623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23623C">
        <w:rPr>
          <w:szCs w:val="28"/>
        </w:rPr>
        <w:t>Концепция «свободы усмотрения» госуда</w:t>
      </w:r>
      <w:proofErr w:type="gramStart"/>
      <w:r w:rsidRPr="0023623C">
        <w:rPr>
          <w:szCs w:val="28"/>
        </w:rPr>
        <w:t>рств в пр</w:t>
      </w:r>
      <w:proofErr w:type="gramEnd"/>
      <w:r w:rsidRPr="0023623C">
        <w:rPr>
          <w:szCs w:val="28"/>
        </w:rPr>
        <w:t>актике Европейского Суда по правам человека.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Особенности судопроизводства в</w:t>
      </w:r>
      <w:r>
        <w:t xml:space="preserve"> Европейском суде по правам человека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 xml:space="preserve">Толкование </w:t>
      </w:r>
      <w:proofErr w:type="gramStart"/>
      <w:r w:rsidRPr="009A0211">
        <w:rPr>
          <w:szCs w:val="28"/>
        </w:rPr>
        <w:t>положении</w:t>
      </w:r>
      <w:proofErr w:type="gramEnd"/>
      <w:r w:rsidRPr="009A0211">
        <w:rPr>
          <w:szCs w:val="28"/>
        </w:rPr>
        <w:t>̆ ЕКПЧ в деятельности Европейского суда по правам человека</w:t>
      </w:r>
      <w:r>
        <w:rPr>
          <w:szCs w:val="28"/>
        </w:rPr>
        <w:t>.</w:t>
      </w:r>
    </w:p>
    <w:p w:rsidR="003252BC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szCs w:val="28"/>
        </w:rPr>
        <w:t>Постановления Европейского суда по правам человека.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proofErr w:type="spellStart"/>
      <w:r w:rsidRPr="009A0211">
        <w:rPr>
          <w:szCs w:val="28"/>
        </w:rPr>
        <w:t>П</w:t>
      </w:r>
      <w:r>
        <w:rPr>
          <w:szCs w:val="28"/>
        </w:rPr>
        <w:t>илотные</w:t>
      </w:r>
      <w:proofErr w:type="spellEnd"/>
      <w:r>
        <w:rPr>
          <w:szCs w:val="28"/>
        </w:rPr>
        <w:t xml:space="preserve"> п</w:t>
      </w:r>
      <w:r w:rsidRPr="009A0211">
        <w:rPr>
          <w:szCs w:val="28"/>
        </w:rPr>
        <w:t>остановления Европейского суда по правам человека.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Исполнение решений </w:t>
      </w:r>
      <w:r w:rsidRPr="009A0211">
        <w:rPr>
          <w:szCs w:val="28"/>
        </w:rPr>
        <w:t>Европейского суда по правам человека.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Влияние решений ЕСПЧ на национальное законодательство.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color w:val="000000"/>
          <w:szCs w:val="28"/>
          <w:shd w:val="clear" w:color="auto" w:fill="FFFFFF"/>
        </w:rPr>
        <w:t xml:space="preserve">Правовое положение человека и гражданина в ЕС: история формирования института, источники.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Cs w:val="28"/>
        </w:rPr>
      </w:pPr>
      <w:r w:rsidRPr="009A0211">
        <w:rPr>
          <w:color w:val="000000"/>
          <w:szCs w:val="28"/>
          <w:shd w:val="clear" w:color="auto" w:fill="FFFFFF"/>
        </w:rPr>
        <w:t xml:space="preserve">Хартия Европейского Союза об основных правах. </w:t>
      </w:r>
    </w:p>
    <w:p w:rsidR="003252BC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 w:rsidRPr="009A0211">
        <w:rPr>
          <w:color w:val="000000"/>
          <w:szCs w:val="28"/>
          <w:shd w:val="clear" w:color="auto" w:fill="FFFFFF"/>
        </w:rPr>
        <w:t>Применение принципа защиты прав человека в праве Европейского Союза.</w:t>
      </w:r>
    </w:p>
    <w:p w:rsidR="003252BC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 w:rsidRPr="009A0211">
        <w:rPr>
          <w:color w:val="000000"/>
          <w:szCs w:val="28"/>
          <w:shd w:val="clear" w:color="auto" w:fill="FFFFFF"/>
        </w:rPr>
        <w:t>Суд ЕС и обеспечение прав человека.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>Статус и назначение Суда Европейских Сообществ.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>Состав, внутренняя организация и порядок принятия решений в Суде Европейских Сообществ.</w:t>
      </w:r>
    </w:p>
    <w:p w:rsidR="003252BC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>Юрисдикция Суда Европейского Союза.</w:t>
      </w:r>
    </w:p>
    <w:p w:rsidR="003252BC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 w:rsidRPr="009A0211">
        <w:rPr>
          <w:color w:val="000000"/>
          <w:szCs w:val="28"/>
          <w:shd w:val="clear" w:color="auto" w:fill="FFFFFF"/>
        </w:rPr>
        <w:t>Гарантии обеспечения прав человека в Европейском Союзе: институциональные гарантии; процессуальные гарантии.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 xml:space="preserve">Документы ОБСЕ (Заключительный акт совещания по безопасности и сотрудничеству в Европе 1975 г.; Итоговый документ Венской встречи в 1989 г.; Документ Копенгагенского совещания Конференции по человеческому измерению СБСЕ 1991г.)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 xml:space="preserve">Механизм человеческого измерения ОБСЕ (Решения Московского совещания Конференции по человеческому измерению СБСЕ 1991г. и Пражской встречи Совета министров иностранных дел 1992г.).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 xml:space="preserve">Деятельность Европейского союза, его представительного органа – Европейского парламента и Суда ЕС в гуманитарной сфере. 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>Принцип защиты прав человека в практике Суда Европейского Союза.</w:t>
      </w:r>
    </w:p>
    <w:p w:rsidR="003252BC" w:rsidRPr="009A0211" w:rsidRDefault="003252BC" w:rsidP="003252BC">
      <w:pPr>
        <w:pStyle w:val="a3"/>
        <w:numPr>
          <w:ilvl w:val="0"/>
          <w:numId w:val="1"/>
        </w:numPr>
        <w:tabs>
          <w:tab w:val="left" w:pos="275"/>
        </w:tabs>
        <w:spacing w:line="240" w:lineRule="auto"/>
        <w:ind w:left="-2" w:right="62" w:firstLineChars="163" w:firstLine="456"/>
        <w:jc w:val="both"/>
        <w:textAlignment w:val="baseline"/>
        <w:rPr>
          <w:color w:val="000000"/>
          <w:szCs w:val="28"/>
          <w:shd w:val="clear" w:color="auto" w:fill="FFFFFF"/>
        </w:rPr>
      </w:pPr>
      <w:r>
        <w:t>Механизм применения Российской Федерацией европейских стандартов в области прав человека.</w:t>
      </w:r>
    </w:p>
    <w:p w:rsidR="00000000" w:rsidRDefault="003252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69E"/>
    <w:multiLevelType w:val="hybridMultilevel"/>
    <w:tmpl w:val="7E66968E"/>
    <w:lvl w:ilvl="0" w:tplc="ACF268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74473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B8462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A22A5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DA7E0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EB4B2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26846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4EEA65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E495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2BC"/>
    <w:rsid w:val="0032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BC"/>
    <w:pPr>
      <w:spacing w:after="0" w:line="360" w:lineRule="auto"/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mikshtada</dc:creator>
  <cp:keywords/>
  <dc:description/>
  <cp:lastModifiedBy>mikshtada</cp:lastModifiedBy>
  <cp:revision>2</cp:revision>
  <dcterms:created xsi:type="dcterms:W3CDTF">2022-09-09T08:10:00Z</dcterms:created>
  <dcterms:modified xsi:type="dcterms:W3CDTF">2022-09-09T08:10:00Z</dcterms:modified>
</cp:coreProperties>
</file>