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2F" w:rsidRPr="00901ADD" w:rsidRDefault="009C0C2F" w:rsidP="009C0C2F">
      <w:pPr>
        <w:pStyle w:val="1"/>
        <w:numPr>
          <w:ilvl w:val="0"/>
          <w:numId w:val="0"/>
        </w:numPr>
        <w:spacing w:before="0" w:after="0"/>
        <w:ind w:left="360" w:hanging="360"/>
        <w:rPr>
          <w:sz w:val="28"/>
        </w:rPr>
      </w:pPr>
      <w:r w:rsidRPr="00901ADD">
        <w:rPr>
          <w:sz w:val="28"/>
        </w:rPr>
        <w:t>Перечень вопросов к зачету</w:t>
      </w:r>
    </w:p>
    <w:p w:rsidR="009C0C2F" w:rsidRPr="00901ADD" w:rsidRDefault="009C0C2F" w:rsidP="009C0C2F">
      <w:pPr>
        <w:pStyle w:val="1"/>
        <w:numPr>
          <w:ilvl w:val="0"/>
          <w:numId w:val="0"/>
        </w:numPr>
        <w:spacing w:before="0" w:after="0"/>
        <w:ind w:left="360" w:hanging="360"/>
        <w:rPr>
          <w:sz w:val="28"/>
        </w:rPr>
      </w:pPr>
      <w:r w:rsidRPr="00901ADD">
        <w:rPr>
          <w:sz w:val="28"/>
        </w:rPr>
        <w:t>по дисциплине «</w:t>
      </w:r>
      <w:r>
        <w:rPr>
          <w:sz w:val="28"/>
        </w:rPr>
        <w:t>Трудовое право</w:t>
      </w:r>
      <w:bookmarkStart w:id="0" w:name="_GoBack"/>
      <w:bookmarkEnd w:id="0"/>
      <w:r w:rsidRPr="00901ADD">
        <w:rPr>
          <w:sz w:val="28"/>
        </w:rPr>
        <w:t xml:space="preserve">» </w:t>
      </w:r>
    </w:p>
    <w:p w:rsidR="009C0C2F" w:rsidRPr="00901ADD" w:rsidRDefault="009C0C2F" w:rsidP="009C0C2F">
      <w:pPr>
        <w:pStyle w:val="1"/>
        <w:numPr>
          <w:ilvl w:val="0"/>
          <w:numId w:val="0"/>
        </w:numPr>
        <w:spacing w:before="0" w:after="0"/>
        <w:ind w:left="360" w:hanging="360"/>
        <w:rPr>
          <w:sz w:val="28"/>
        </w:rPr>
      </w:pPr>
      <w:r w:rsidRPr="00901ADD">
        <w:rPr>
          <w:sz w:val="28"/>
        </w:rPr>
        <w:t>(направление подготовки 40.03.01 Юриспруденция)</w:t>
      </w:r>
    </w:p>
    <w:p w:rsidR="006462B1" w:rsidRPr="006462B1" w:rsidRDefault="006462B1" w:rsidP="006462B1">
      <w:pPr>
        <w:pStyle w:val="a1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Понятие, предмет и значение трудового права России.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Метод трудового права: отраслевые особенности регулирования трудовых и связанных с ними отношений.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Единство и дифференциация в правовом регулировании труда.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Сфера действия трудового права.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Соотношение (связь и разграничение) трудового и иных отраслей российского права, связанных с трудом.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Понятие, значение, система принципов трудового права. Характеристика основных принципов трудового права.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Система и особенности источников трудового права. Разграничение полномочий РФ и субъектов РФ в сфере регулирования труда.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Понятие и роль локального правового регулирования труда. Обязательные локальные нормативные акты о труде.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Органы и правила локального нормотворчества в сфере труда.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Граждане-работники – субъекты трудового права.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Работодатели (юридические и физические лица) – субъекты трудового права. Общая характеристика правового статуса работодателей.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Понятие и значение социального партнерства по нормам трудового права. Стороны и представительство сторон социального партнерства в сфере труда.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Уровни, формы и органы социального партнерства в сфере труда. Состав сторон и полномочия Российской трехсторонней комиссии по регулированию социально-трудовых отношений.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Коллективный договор: понятие, значение, стороны и возможное содержание.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Порядок разработки, заключения и регистрация коллективного договора. Срок и сфера его действия.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Правовое регулирование занятости населения в РФ: основные акты и понятия (занятость, занятые граждане, подходящая работа).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Основы государственной политики и система государственных гарантий в сфере занятости населения РФ.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Безработные граждане: понятие, порядок регистрации и признания гражданина безработным.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Система и общая характеристика мер социально-правовой защиты временно незанятых и безработных граждан как элемент демографической политики государства.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Пособие по безработице: назначение, размеры, периоды выплаты (сроки получения).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Понятие, значение, структура и содержание трудового договора: обязательные и дополнительные условия. Недействительность условий трудового договора.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lastRenderedPageBreak/>
        <w:t>Условие о сроке трудового договора. Срочный трудовой договор: основания и правила установления срока трудового договора. Увольнение по истечении срока трудового договора.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Условие об испытании при приеме на работу по трудовому договору. Результат испытания.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Порядок заключения трудового договора и иное документальное оформление приема на работу. Аннулирование трудового договора.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Гарантии при заключении трудового договора. Законные основания для отказа в приеме на работу. Обжалование отказа в приеме на работу.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Трудовые книжки работников: значение, правовые акты и основные правила ведения. Электронные трудовые книжки. Оформление и выдача трудовой книжки при увольнении работника.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Понятие (признаки) и общие правила переводов на другую работу. Виды переводов. Постоянные переводы на другую работу.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Временные переводы на другую работу: основания, сроки, правила применения.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Основания и порядок изменения условий трудового договора. Последствия отказа от работы на новых условиях. Перемещение работника.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Отстранение от работы: понятие, основания, правила применения. Последствия незаконного отстранения.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Основания прекращения трудового договора: классификация и общая характеристика.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Прекращение срочного трудового договора.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Расторжение трудового договора по инициативе работника (по собственному желанию.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Расторжение трудового договора по инициативе работодателя: классификация оснований, порядок увольнения.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Участие выборного органа первичной профсоюзной организации в рассмотрении вопросов, связанных с расторжением трудового договора по инициативе работодателя.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Прекращение трудового договора по обстоятельствам, не зависящим от воли сторон.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Прекращение трудового договора вследствие нарушения установленных трудовым законодательством правил заключении трудового договора.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Общий порядок оформления прекращения трудового договора.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Понятие персональных данных работника и общие правила при обработке, передаче персональных данных, гарантии их защиты.</w:t>
      </w:r>
    </w:p>
    <w:p w:rsidR="006462B1" w:rsidRPr="006462B1" w:rsidRDefault="006462B1" w:rsidP="006462B1">
      <w:pPr>
        <w:pStyle w:val="a1"/>
        <w:numPr>
          <w:ilvl w:val="0"/>
          <w:numId w:val="3"/>
        </w:numPr>
        <w:tabs>
          <w:tab w:val="left" w:pos="1276"/>
          <w:tab w:val="left" w:pos="1418"/>
        </w:tabs>
        <w:spacing w:before="0" w:after="0"/>
        <w:ind w:left="0" w:firstLine="709"/>
        <w:jc w:val="both"/>
        <w:rPr>
          <w:sz w:val="28"/>
          <w:szCs w:val="28"/>
        </w:rPr>
      </w:pPr>
      <w:r w:rsidRPr="006462B1">
        <w:rPr>
          <w:sz w:val="28"/>
          <w:szCs w:val="28"/>
        </w:rPr>
        <w:t>Ответственность за нарушение норм, регулирующих обработку и защиту персональных данных работника.</w:t>
      </w:r>
    </w:p>
    <w:p w:rsidR="00C24218" w:rsidRPr="006462B1" w:rsidRDefault="00C24218" w:rsidP="006462B1">
      <w:pPr>
        <w:ind w:firstLine="709"/>
        <w:jc w:val="both"/>
        <w:rPr>
          <w:sz w:val="24"/>
          <w:szCs w:val="24"/>
        </w:rPr>
      </w:pPr>
    </w:p>
    <w:sectPr w:rsidR="00C24218" w:rsidRPr="0064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20217CB"/>
    <w:multiLevelType w:val="hybridMultilevel"/>
    <w:tmpl w:val="11EA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5A"/>
    <w:rsid w:val="001D188D"/>
    <w:rsid w:val="006462B1"/>
    <w:rsid w:val="009C0C2F"/>
    <w:rsid w:val="00A17A5A"/>
    <w:rsid w:val="00C24218"/>
    <w:rsid w:val="00C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4F5AA-A2EE-432A-B0C4-0306326C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6462B1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6462B1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6462B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6462B1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6462B1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6462B1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6462B1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64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64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3608</Characters>
  <Application>Microsoft Office Word</Application>
  <DocSecurity>0</DocSecurity>
  <Lines>30</Lines>
  <Paragraphs>8</Paragraphs>
  <ScaleCrop>false</ScaleCrop>
  <Company>ФГБОУ СГЮА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 трудового права</dc:creator>
  <cp:keywords/>
  <dc:description/>
  <cp:lastModifiedBy>Лаборант трудового права</cp:lastModifiedBy>
  <cp:revision>3</cp:revision>
  <dcterms:created xsi:type="dcterms:W3CDTF">2024-09-04T04:53:00Z</dcterms:created>
  <dcterms:modified xsi:type="dcterms:W3CDTF">2024-09-16T06:39:00Z</dcterms:modified>
</cp:coreProperties>
</file>